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A305">
      <w:pPr>
        <w:spacing w:line="500" w:lineRule="exact"/>
        <w:jc w:val="center"/>
        <w:outlineLvl w:val="0"/>
        <w:rPr>
          <w:rFonts w:ascii="Times New Roman" w:hAnsi="Times New Roman" w:eastAsia="宋体" w:cs="Times New Roman"/>
          <w:b/>
          <w:color w:val="auto"/>
          <w:kern w:val="0"/>
          <w:sz w:val="44"/>
          <w:szCs w:val="44"/>
          <w:highlight w:val="none"/>
        </w:rPr>
      </w:pPr>
      <w:bookmarkStart w:id="0" w:name="_Toc31956"/>
      <w:bookmarkStart w:id="1" w:name="_Toc1519"/>
      <w:r>
        <w:rPr>
          <w:rFonts w:ascii="Times New Roman" w:hAnsi="Times New Roman" w:eastAsia="宋体" w:cs="Times New Roman"/>
          <w:b/>
          <w:color w:val="auto"/>
          <w:kern w:val="0"/>
          <w:sz w:val="44"/>
          <w:szCs w:val="44"/>
          <w:highlight w:val="none"/>
        </w:rPr>
        <w:t>第四</w:t>
      </w:r>
      <w:r>
        <w:rPr>
          <w:rFonts w:hint="eastAsia" w:ascii="Times New Roman" w:hAnsi="Times New Roman" w:eastAsia="宋体" w:cs="Times New Roman"/>
          <w:b/>
          <w:color w:val="auto"/>
          <w:kern w:val="0"/>
          <w:sz w:val="44"/>
          <w:szCs w:val="44"/>
          <w:highlight w:val="none"/>
        </w:rPr>
        <w:t xml:space="preserve">章  </w:t>
      </w:r>
      <w:r>
        <w:rPr>
          <w:rFonts w:ascii="Times New Roman" w:hAnsi="Times New Roman" w:eastAsia="宋体" w:cs="Times New Roman"/>
          <w:b/>
          <w:color w:val="auto"/>
          <w:kern w:val="0"/>
          <w:sz w:val="44"/>
          <w:szCs w:val="44"/>
          <w:highlight w:val="none"/>
        </w:rPr>
        <w:t>采购需求</w:t>
      </w:r>
      <w:bookmarkEnd w:id="0"/>
      <w:bookmarkEnd w:id="1"/>
    </w:p>
    <w:p w14:paraId="03BE34AB">
      <w:pPr>
        <w:spacing w:line="0" w:lineRule="atLeas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一</w:t>
      </w:r>
      <w:r>
        <w:rPr>
          <w:rFonts w:ascii="宋体" w:hAnsi="宋体" w:eastAsia="宋体" w:cs="Times New Roman"/>
          <w:b/>
          <w:color w:val="auto"/>
          <w:kern w:val="0"/>
          <w:sz w:val="24"/>
          <w:szCs w:val="24"/>
          <w:highlight w:val="none"/>
        </w:rPr>
        <w:t>、</w:t>
      </w:r>
      <w:r>
        <w:rPr>
          <w:rFonts w:hint="eastAsia" w:ascii="宋体" w:hAnsi="宋体" w:eastAsia="宋体" w:cs="Times New Roman"/>
          <w:b/>
          <w:color w:val="auto"/>
          <w:kern w:val="0"/>
          <w:sz w:val="24"/>
          <w:szCs w:val="24"/>
          <w:highlight w:val="none"/>
        </w:rPr>
        <w:t>采购</w:t>
      </w:r>
      <w:r>
        <w:rPr>
          <w:rFonts w:ascii="宋体" w:hAnsi="宋体" w:eastAsia="宋体" w:cs="Times New Roman"/>
          <w:b/>
          <w:color w:val="auto"/>
          <w:kern w:val="0"/>
          <w:sz w:val="24"/>
          <w:szCs w:val="24"/>
          <w:highlight w:val="none"/>
        </w:rPr>
        <w:t>标的清单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287"/>
        <w:gridCol w:w="2852"/>
      </w:tblGrid>
      <w:tr w14:paraId="1702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0" w:type="dxa"/>
            <w:vAlign w:val="center"/>
          </w:tcPr>
          <w:p w14:paraId="52532C49">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序号</w:t>
            </w:r>
          </w:p>
        </w:tc>
        <w:tc>
          <w:tcPr>
            <w:tcW w:w="4287" w:type="dxa"/>
            <w:vAlign w:val="center"/>
          </w:tcPr>
          <w:p w14:paraId="5BD6D531">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w:t>
            </w:r>
            <w:r>
              <w:rPr>
                <w:rFonts w:ascii="宋体" w:hAnsi="宋体" w:eastAsia="宋体" w:cs="Times New Roman"/>
                <w:color w:val="auto"/>
                <w:kern w:val="0"/>
                <w:sz w:val="24"/>
                <w:szCs w:val="24"/>
                <w:highlight w:val="none"/>
              </w:rPr>
              <w:t>标的</w:t>
            </w:r>
          </w:p>
        </w:tc>
        <w:tc>
          <w:tcPr>
            <w:tcW w:w="2852" w:type="dxa"/>
            <w:vAlign w:val="center"/>
          </w:tcPr>
          <w:p w14:paraId="5BBDAF7C">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对应中</w:t>
            </w:r>
            <w:r>
              <w:rPr>
                <w:rFonts w:ascii="宋体" w:hAnsi="宋体" w:eastAsia="宋体" w:cs="Times New Roman"/>
                <w:color w:val="auto"/>
                <w:kern w:val="0"/>
                <w:sz w:val="24"/>
                <w:szCs w:val="24"/>
                <w:highlight w:val="none"/>
              </w:rPr>
              <w:t>小企业划分标准所属行业</w:t>
            </w:r>
          </w:p>
        </w:tc>
      </w:tr>
      <w:tr w14:paraId="21E4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70" w:type="dxa"/>
            <w:vAlign w:val="center"/>
          </w:tcPr>
          <w:p w14:paraId="3E61D6DE">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4287" w:type="dxa"/>
            <w:vAlign w:val="center"/>
          </w:tcPr>
          <w:p w14:paraId="4A7CE7A7">
            <w:pPr>
              <w:tabs>
                <w:tab w:val="left" w:pos="2020"/>
              </w:tabs>
              <w:spacing w:line="0" w:lineRule="atLeast"/>
              <w:jc w:val="center"/>
              <w:rPr>
                <w:rFonts w:hint="eastAsia" w:ascii="宋体" w:hAnsi="宋体" w:eastAsia="宋体" w:cs="Times New Roman"/>
                <w:color w:val="auto"/>
                <w:kern w:val="0"/>
                <w:sz w:val="24"/>
                <w:szCs w:val="24"/>
                <w:highlight w:val="none"/>
                <w:lang w:eastAsia="zh-CN"/>
              </w:rPr>
            </w:pPr>
            <w:r>
              <w:rPr>
                <w:rFonts w:hint="eastAsia" w:ascii="Calibri" w:hAnsi="Calibri" w:eastAsia="宋体" w:cs="Courier New"/>
                <w:kern w:val="0"/>
                <w:sz w:val="24"/>
                <w:szCs w:val="24"/>
                <w:lang w:eastAsia="zh-CN"/>
              </w:rPr>
              <w:t>数字沭阳“十五五”专项规划编制项目</w:t>
            </w:r>
          </w:p>
        </w:tc>
        <w:tc>
          <w:tcPr>
            <w:tcW w:w="2852" w:type="dxa"/>
            <w:vAlign w:val="center"/>
          </w:tcPr>
          <w:p w14:paraId="34CFC5D0">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其他未列明行业</w:t>
            </w:r>
          </w:p>
        </w:tc>
      </w:tr>
    </w:tbl>
    <w:p w14:paraId="6C67C43A">
      <w:pPr>
        <w:spacing w:line="400" w:lineRule="exact"/>
        <w:ind w:firstLine="482" w:firstLineChars="200"/>
        <w:rPr>
          <w:rFonts w:hint="eastAsia" w:ascii="宋体" w:hAnsi="宋体" w:eastAsia="宋体" w:cs="Times New Roman"/>
          <w:b/>
          <w:color w:val="auto"/>
          <w:kern w:val="0"/>
          <w:sz w:val="24"/>
          <w:szCs w:val="24"/>
          <w:highlight w:val="none"/>
        </w:rPr>
      </w:pPr>
    </w:p>
    <w:p w14:paraId="6957C882">
      <w:pPr>
        <w:numPr>
          <w:ilvl w:val="0"/>
          <w:numId w:val="0"/>
        </w:numPr>
        <w:wordWrap w:val="0"/>
        <w:spacing w:line="360" w:lineRule="auto"/>
        <w:ind w:leftChars="0"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二、项目概况</w:t>
      </w:r>
    </w:p>
    <w:p w14:paraId="69100E71">
      <w:pPr>
        <w:numPr>
          <w:ilvl w:val="0"/>
          <w:numId w:val="0"/>
        </w:numPr>
        <w:wordWrap w:val="0"/>
        <w:spacing w:line="360" w:lineRule="auto"/>
        <w:ind w:leftChars="0" w:firstLine="480" w:firstLineChars="200"/>
        <w:rPr>
          <w:rFonts w:hint="eastAsia" w:ascii="宋体" w:hAnsi="宋体" w:eastAsia="宋体" w:cs="宋体"/>
          <w:kern w:val="2"/>
          <w:sz w:val="24"/>
          <w:szCs w:val="24"/>
          <w:lang w:eastAsia="zh-CN"/>
        </w:rPr>
      </w:pPr>
      <w:r>
        <w:rPr>
          <w:rFonts w:hint="eastAsia" w:ascii="宋体" w:hAnsi="宋体" w:eastAsia="宋体" w:cs="宋体"/>
          <w:kern w:val="2"/>
          <w:sz w:val="24"/>
          <w:szCs w:val="24"/>
        </w:rPr>
        <w:t>1、项目名称：</w:t>
      </w:r>
      <w:r>
        <w:rPr>
          <w:rFonts w:hint="eastAsia" w:ascii="宋体" w:hAnsi="宋体" w:eastAsia="宋体" w:cs="宋体"/>
          <w:kern w:val="2"/>
          <w:sz w:val="24"/>
          <w:szCs w:val="24"/>
          <w:lang w:eastAsia="zh-CN"/>
        </w:rPr>
        <w:t>数字沭阳“十五五”专项规划编制项目</w:t>
      </w:r>
    </w:p>
    <w:p w14:paraId="4ED7D843">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2、采购内容：</w:t>
      </w:r>
      <w:r>
        <w:rPr>
          <w:rFonts w:hint="eastAsia" w:ascii="宋体" w:hAnsi="宋体" w:eastAsia="宋体" w:cs="宋体"/>
          <w:kern w:val="2"/>
          <w:sz w:val="24"/>
          <w:szCs w:val="24"/>
          <w:lang w:eastAsia="zh-CN"/>
        </w:rPr>
        <w:t>该项目系统梳理沭阳县数字化建设现状，深入分析“十四五”期间取得的成就与存在的不足，</w:t>
      </w:r>
      <w:r>
        <w:rPr>
          <w:rFonts w:hint="default" w:ascii="宋体" w:hAnsi="宋体" w:eastAsia="宋体" w:cs="宋体"/>
          <w:kern w:val="2"/>
          <w:sz w:val="24"/>
          <w:szCs w:val="24"/>
          <w:lang w:val="en-US" w:eastAsia="zh-CN"/>
        </w:rPr>
        <w:t>深度研判“十五五”区域推进数字化发展面临的新形势新机遇新变化，结合国家“数字中国”建设布局和“数字江苏”政策导向和建设路径</w:t>
      </w:r>
      <w:r>
        <w:rPr>
          <w:rFonts w:hint="eastAsia" w:ascii="宋体" w:hAnsi="宋体" w:eastAsia="宋体" w:cs="宋体"/>
          <w:kern w:val="2"/>
          <w:sz w:val="24"/>
          <w:szCs w:val="24"/>
          <w:lang w:eastAsia="zh-CN"/>
        </w:rPr>
        <w:t>，立足沭阳县紧扣“苏北全面领先”和“致力多作贡献”目标追求，突出差异化定位和特色化发展，</w:t>
      </w:r>
      <w:r>
        <w:rPr>
          <w:rFonts w:hint="default" w:ascii="宋体" w:hAnsi="宋体" w:eastAsia="宋体" w:cs="宋体"/>
          <w:kern w:val="2"/>
          <w:sz w:val="24"/>
          <w:szCs w:val="24"/>
          <w:lang w:val="en-US" w:eastAsia="zh-CN"/>
        </w:rPr>
        <w:t>明确“十五五”</w:t>
      </w:r>
      <w:r>
        <w:rPr>
          <w:rFonts w:hint="eastAsia" w:ascii="宋体" w:hAnsi="宋体" w:eastAsia="宋体" w:cs="宋体"/>
          <w:kern w:val="2"/>
          <w:sz w:val="24"/>
          <w:szCs w:val="24"/>
          <w:lang w:eastAsia="zh-CN"/>
        </w:rPr>
        <w:t>期间沭阳县按照数字经济、数字政府、数字社会、数字文化、数字生态文明“五位一体”推进全域数字化转型的总体思路、发展目标、重点任务和配套机制，为沭阳县未来五年数字化发展提供指导蓝图。最终成果包括《数字沭阳“十五五”规划》正式文本及其简本，确保规划具备科学性、前瞻性和可操作性，以推动沭阳成为区域数字化转型的先锋</w:t>
      </w:r>
      <w:r>
        <w:rPr>
          <w:rFonts w:hint="eastAsia" w:ascii="宋体" w:hAnsi="宋体" w:eastAsia="宋体" w:cs="宋体"/>
          <w:kern w:val="2"/>
          <w:sz w:val="24"/>
          <w:szCs w:val="24"/>
        </w:rPr>
        <w:t>；</w:t>
      </w:r>
    </w:p>
    <w:p w14:paraId="04C4FCAC">
      <w:pPr>
        <w:numPr>
          <w:ilvl w:val="0"/>
          <w:numId w:val="0"/>
        </w:numPr>
        <w:wordWrap w:val="0"/>
        <w:spacing w:line="360" w:lineRule="auto"/>
        <w:ind w:leftChars="0"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3、</w:t>
      </w:r>
      <w:r>
        <w:rPr>
          <w:rFonts w:hint="eastAsia" w:ascii="宋体" w:hAnsi="宋体" w:eastAsia="宋体" w:cs="宋体"/>
          <w:kern w:val="2"/>
          <w:sz w:val="24"/>
          <w:szCs w:val="24"/>
          <w:lang w:val="en-US" w:eastAsia="zh-CN"/>
        </w:rPr>
        <w:t>服务</w:t>
      </w:r>
      <w:r>
        <w:rPr>
          <w:rFonts w:hint="eastAsia" w:ascii="宋体" w:hAnsi="宋体" w:eastAsia="宋体" w:cs="宋体"/>
          <w:kern w:val="2"/>
          <w:sz w:val="24"/>
          <w:szCs w:val="24"/>
        </w:rPr>
        <w:t>期</w:t>
      </w:r>
      <w:r>
        <w:rPr>
          <w:rFonts w:hint="eastAsia" w:ascii="宋体" w:hAnsi="宋体" w:eastAsia="宋体" w:cs="宋体"/>
          <w:color w:val="auto"/>
          <w:kern w:val="2"/>
          <w:sz w:val="24"/>
          <w:szCs w:val="24"/>
        </w:rPr>
        <w:t>：</w:t>
      </w:r>
      <w:r>
        <w:rPr>
          <w:rFonts w:hint="eastAsia" w:ascii="宋体" w:hAnsi="宋体" w:eastAsia="宋体" w:cs="宋体"/>
          <w:kern w:val="2"/>
          <w:sz w:val="24"/>
          <w:szCs w:val="24"/>
          <w:lang w:val="en-US" w:eastAsia="zh-CN"/>
        </w:rPr>
        <w:t>2026年6月底前完成，具体由采购人指定。</w:t>
      </w:r>
    </w:p>
    <w:p w14:paraId="488F8944">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4、质量要求：合格；</w:t>
      </w:r>
    </w:p>
    <w:p w14:paraId="297C2637">
      <w:pPr>
        <w:numPr>
          <w:ilvl w:val="0"/>
          <w:numId w:val="0"/>
        </w:numPr>
        <w:wordWrap w:val="0"/>
        <w:spacing w:line="360" w:lineRule="auto"/>
        <w:ind w:leftChars="0" w:firstLine="480" w:firstLineChars="200"/>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5、付款方式：对于满足合同约定支付条件的，自收到发票后10个工作日内将资金支付到合同约定的供应商账户或供应商数字人民币账户。</w:t>
      </w:r>
    </w:p>
    <w:p w14:paraId="0A1B1FB5">
      <w:pPr>
        <w:numPr>
          <w:ilvl w:val="0"/>
          <w:numId w:val="0"/>
        </w:numPr>
        <w:wordWrap w:val="0"/>
        <w:spacing w:line="360" w:lineRule="auto"/>
        <w:ind w:leftChars="0" w:firstLine="480" w:firstLineChars="200"/>
        <w:rPr>
          <w:rFonts w:hint="default" w:ascii="宋体" w:hAnsi="宋体" w:eastAsia="宋体" w:cs="宋体"/>
          <w:b w:val="0"/>
          <w:bCs w:val="0"/>
          <w:color w:val="auto"/>
          <w:kern w:val="2"/>
          <w:sz w:val="24"/>
          <w:szCs w:val="24"/>
          <w:highlight w:val="red"/>
          <w:shd w:val="clear" w:color="FFFFFF" w:fill="D9D9D9"/>
          <w:lang w:val="en-US" w:eastAsia="zh-CN"/>
        </w:rPr>
      </w:pPr>
      <w:r>
        <w:rPr>
          <w:rFonts w:hint="eastAsia" w:ascii="宋体" w:hAnsi="宋体" w:eastAsia="宋体" w:cs="宋体"/>
          <w:b w:val="0"/>
          <w:bCs w:val="0"/>
          <w:kern w:val="2"/>
          <w:sz w:val="24"/>
          <w:szCs w:val="24"/>
          <w:highlight w:val="none"/>
          <w:lang w:val="en-US" w:eastAsia="zh-CN"/>
        </w:rPr>
        <w:t>2025年12月底前完成规划初稿且在收到供应商发票后10个工作日内，支付至合同价款的30%；2026年3月底前完成与上级部门专项规划衔接工作后且在收到供应商发票后10个工作日内，支付合同价款的50%；2026年6月底前形成最终成果，并通过发展改革局审核备案合格后且收到供应商发票后10个工作日内，付至合同价款的100%。</w:t>
      </w:r>
    </w:p>
    <w:p w14:paraId="08BDA9A9">
      <w:pPr>
        <w:numPr>
          <w:ilvl w:val="0"/>
          <w:numId w:val="0"/>
        </w:numPr>
        <w:wordWrap w:val="0"/>
        <w:spacing w:line="360" w:lineRule="auto"/>
        <w:ind w:leftChars="0"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三</w:t>
      </w:r>
      <w:r>
        <w:rPr>
          <w:rFonts w:hint="eastAsia" w:ascii="宋体" w:hAnsi="宋体" w:eastAsia="宋体" w:cs="宋体"/>
          <w:b/>
          <w:bCs/>
          <w:kern w:val="2"/>
          <w:sz w:val="24"/>
          <w:szCs w:val="24"/>
        </w:rPr>
        <w:t>、项目背景</w:t>
      </w:r>
    </w:p>
    <w:p w14:paraId="77BBCD5F">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为贯彻落实中央和省、市关于“十五五”规划的相关编制要求，做好</w:t>
      </w:r>
      <w:r>
        <w:rPr>
          <w:rFonts w:hint="eastAsia" w:ascii="宋体" w:hAnsi="宋体" w:eastAsia="宋体" w:cs="宋体"/>
          <w:kern w:val="2"/>
          <w:sz w:val="24"/>
          <w:szCs w:val="24"/>
          <w:lang w:val="en-US" w:eastAsia="zh-CN"/>
        </w:rPr>
        <w:t>沭阳</w:t>
      </w:r>
      <w:r>
        <w:rPr>
          <w:rFonts w:hint="eastAsia" w:ascii="宋体" w:hAnsi="宋体" w:eastAsia="宋体" w:cs="宋体"/>
          <w:kern w:val="2"/>
          <w:sz w:val="24"/>
          <w:szCs w:val="24"/>
        </w:rPr>
        <w:t xml:space="preserve"> “十五五”数字化规划工作，</w:t>
      </w:r>
      <w:r>
        <w:rPr>
          <w:rFonts w:hint="eastAsia" w:ascii="宋体" w:hAnsi="宋体" w:eastAsia="宋体" w:cs="宋体"/>
          <w:kern w:val="2"/>
          <w:sz w:val="24"/>
          <w:szCs w:val="24"/>
          <w:lang w:val="en-US" w:eastAsia="zh-CN"/>
        </w:rPr>
        <w:t>沭阳县</w:t>
      </w:r>
      <w:bookmarkStart w:id="3" w:name="_GoBack"/>
      <w:bookmarkEnd w:id="3"/>
      <w:r>
        <w:rPr>
          <w:rFonts w:hint="eastAsia" w:ascii="宋体" w:hAnsi="宋体" w:eastAsia="宋体" w:cs="宋体"/>
          <w:kern w:val="2"/>
          <w:sz w:val="24"/>
          <w:szCs w:val="24"/>
        </w:rPr>
        <w:t>数据局拟编制《数字</w:t>
      </w:r>
      <w:r>
        <w:rPr>
          <w:rFonts w:hint="eastAsia" w:ascii="宋体" w:hAnsi="宋体" w:eastAsia="宋体" w:cs="宋体"/>
          <w:kern w:val="2"/>
          <w:sz w:val="24"/>
          <w:szCs w:val="24"/>
          <w:lang w:val="en-US" w:eastAsia="zh-CN"/>
        </w:rPr>
        <w:t>沭阳</w:t>
      </w:r>
      <w:r>
        <w:rPr>
          <w:rFonts w:hint="eastAsia" w:ascii="宋体" w:hAnsi="宋体" w:eastAsia="宋体" w:cs="宋体"/>
          <w:kern w:val="2"/>
          <w:sz w:val="24"/>
          <w:szCs w:val="24"/>
        </w:rPr>
        <w:t xml:space="preserve"> “十五五”规划》，统筹规划数字</w:t>
      </w:r>
      <w:r>
        <w:rPr>
          <w:rFonts w:hint="eastAsia" w:ascii="宋体" w:hAnsi="宋体" w:eastAsia="宋体" w:cs="宋体"/>
          <w:kern w:val="2"/>
          <w:sz w:val="24"/>
          <w:szCs w:val="24"/>
          <w:lang w:val="en-US" w:eastAsia="zh-CN"/>
        </w:rPr>
        <w:t>沭阳</w:t>
      </w:r>
      <w:r>
        <w:rPr>
          <w:rFonts w:hint="eastAsia" w:ascii="宋体" w:hAnsi="宋体" w:eastAsia="宋体" w:cs="宋体"/>
          <w:kern w:val="2"/>
          <w:sz w:val="24"/>
          <w:szCs w:val="24"/>
        </w:rPr>
        <w:t>的“四梁八柱”，引领</w:t>
      </w:r>
      <w:r>
        <w:rPr>
          <w:rFonts w:hint="eastAsia" w:ascii="宋体" w:hAnsi="宋体" w:eastAsia="宋体" w:cs="宋体"/>
          <w:kern w:val="2"/>
          <w:sz w:val="24"/>
          <w:szCs w:val="24"/>
          <w:lang w:val="en-US" w:eastAsia="zh-CN"/>
        </w:rPr>
        <w:t>沭阳</w:t>
      </w:r>
      <w:r>
        <w:rPr>
          <w:rFonts w:hint="eastAsia" w:ascii="宋体" w:hAnsi="宋体" w:eastAsia="宋体" w:cs="宋体"/>
          <w:kern w:val="2"/>
          <w:sz w:val="24"/>
          <w:szCs w:val="24"/>
        </w:rPr>
        <w:t>经济社会全面发展，保障数字</w:t>
      </w:r>
      <w:r>
        <w:rPr>
          <w:rFonts w:hint="eastAsia" w:ascii="宋体" w:hAnsi="宋体" w:eastAsia="宋体" w:cs="宋体"/>
          <w:kern w:val="2"/>
          <w:sz w:val="24"/>
          <w:szCs w:val="24"/>
          <w:lang w:val="en-US" w:eastAsia="zh-CN"/>
        </w:rPr>
        <w:t>沭阳</w:t>
      </w:r>
      <w:r>
        <w:rPr>
          <w:rFonts w:hint="eastAsia" w:ascii="宋体" w:hAnsi="宋体" w:eastAsia="宋体" w:cs="宋体"/>
          <w:kern w:val="2"/>
          <w:sz w:val="24"/>
          <w:szCs w:val="24"/>
        </w:rPr>
        <w:t>按照既定方向顺利落地实施。</w:t>
      </w:r>
    </w:p>
    <w:p w14:paraId="59992E13">
      <w:pPr>
        <w:numPr>
          <w:ilvl w:val="0"/>
          <w:numId w:val="0"/>
        </w:numPr>
        <w:wordWrap w:val="0"/>
        <w:spacing w:line="360" w:lineRule="auto"/>
        <w:ind w:leftChars="0" w:firstLine="482" w:firstLineChars="200"/>
        <w:rPr>
          <w:rFonts w:hint="default" w:ascii="宋体" w:hAnsi="宋体" w:eastAsia="宋体" w:cs="宋体"/>
          <w:b/>
          <w:bCs/>
          <w:kern w:val="2"/>
          <w:sz w:val="24"/>
          <w:szCs w:val="24"/>
          <w:lang w:val="en-US" w:eastAsia="zh-CN"/>
        </w:rPr>
      </w:pPr>
      <w:bookmarkStart w:id="2" w:name="u7075aaa3"/>
      <w:r>
        <w:rPr>
          <w:rFonts w:hint="eastAsia" w:ascii="宋体" w:hAnsi="宋体" w:eastAsia="宋体" w:cs="宋体"/>
          <w:b/>
          <w:bCs/>
          <w:kern w:val="2"/>
          <w:sz w:val="24"/>
          <w:szCs w:val="24"/>
          <w:lang w:val="en-US" w:eastAsia="zh-CN"/>
        </w:rPr>
        <w:t>四、技术与</w:t>
      </w:r>
      <w:r>
        <w:rPr>
          <w:rFonts w:hint="eastAsia" w:ascii="宋体" w:hAnsi="宋体" w:eastAsia="宋体" w:cs="宋体"/>
          <w:b/>
          <w:bCs/>
          <w:kern w:val="2"/>
          <w:sz w:val="24"/>
          <w:szCs w:val="24"/>
        </w:rPr>
        <w:t>服务内容</w:t>
      </w:r>
      <w:bookmarkEnd w:id="2"/>
      <w:r>
        <w:rPr>
          <w:rFonts w:hint="eastAsia" w:ascii="宋体" w:hAnsi="宋体" w:eastAsia="宋体" w:cs="宋体"/>
          <w:b/>
          <w:bCs/>
          <w:kern w:val="2"/>
          <w:sz w:val="24"/>
          <w:szCs w:val="24"/>
          <w:lang w:val="en-US" w:eastAsia="zh-CN"/>
        </w:rPr>
        <w:t>及要求</w:t>
      </w:r>
    </w:p>
    <w:p w14:paraId="373DBA38">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现状分析。全面梳理“十四五”期间沭阳数字化建设成果、存在问题及短板。</w:t>
      </w:r>
    </w:p>
    <w:p w14:paraId="1D8C8739">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趋势研判。梳理国家“数字中国”战略、江苏省数字化战略与政策导向，分析长三角地区数字化协同趋势、新一代信息技术（如AI大模型、元宇宙）对区域发展的影响；研判沭阳在苏北地区的差异化定位需求（如承接产业转移中的数字化机遇）、与宿迁市“十四五”数字规划的衔接要求。</w:t>
      </w:r>
    </w:p>
    <w:p w14:paraId="41D0E13A">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总体框架设计。提出数字沭阳“十五五”发展的总体思路、基本原则和发展目标，制定“十五五”分阶段目标，明确发展阶段和差异化任务。</w:t>
      </w:r>
    </w:p>
    <w:p w14:paraId="344E5771">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重点领域规划。设计数字经济发展思路，培育人工智能、工业互联网、智能终端等数字核心产业，推动传统产业数字化转型，探索数据要素市场化配置机制。明确数字政府未来发展方向，优化“一网通办”“一网统管”体系，深化政务数据共享与业务协同，提升智能化决策水平。规划数字社会发展路径，推进智慧教育、医疗、养老等民生服务，构建数字化社会治理新模式。提出新型数字基建升级路径，促进数据要素流通。打造数字文化，加快发展新型文化企业、文化业态、文化消费模式。建设数字生态文明</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推动生态环境智慧治理</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加快5G网络、算力中心（如AI超算中心）</w:t>
      </w:r>
      <w:r>
        <w:rPr>
          <w:rFonts w:hint="eastAsia" w:ascii="宋体" w:hAnsi="宋体" w:eastAsia="宋体" w:cs="宋体"/>
          <w:color w:val="auto"/>
          <w:kern w:val="2"/>
          <w:sz w:val="24"/>
          <w:szCs w:val="24"/>
        </w:rPr>
        <w:t>城市数字孪生平台</w:t>
      </w:r>
      <w:r>
        <w:rPr>
          <w:rFonts w:hint="eastAsia" w:ascii="宋体" w:hAnsi="宋体" w:eastAsia="宋体" w:cs="宋体"/>
          <w:kern w:val="2"/>
          <w:sz w:val="24"/>
          <w:szCs w:val="24"/>
        </w:rPr>
        <w:t xml:space="preserve">等建设，支撑智能车联网、工业互联网等场景落地。完善数据共享与安全体系，实现政务、产业、民生数据的融合应用。 </w:t>
      </w:r>
    </w:p>
    <w:p w14:paraId="474A8192">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 xml:space="preserve">实施保障措施。提出政策创新、资金投入、人才引育、项目落地等配套机制，确保规划可操作、可评估。  </w:t>
      </w:r>
    </w:p>
    <w:p w14:paraId="79453750">
      <w:pPr>
        <w:numPr>
          <w:ilvl w:val="0"/>
          <w:numId w:val="0"/>
        </w:numPr>
        <w:wordWrap w:val="0"/>
        <w:spacing w:line="360" w:lineRule="auto"/>
        <w:ind w:firstLine="482" w:firstLineChars="200"/>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rPr>
        <w:t>五、</w:t>
      </w:r>
      <w:r>
        <w:rPr>
          <w:rFonts w:hint="eastAsia" w:ascii="宋体" w:hAnsi="宋体" w:eastAsia="宋体" w:cs="宋体"/>
          <w:b/>
          <w:bCs/>
          <w:kern w:val="2"/>
          <w:sz w:val="24"/>
          <w:szCs w:val="24"/>
        </w:rPr>
        <w:t xml:space="preserve">成果要求 </w:t>
      </w:r>
      <w:r>
        <w:rPr>
          <w:rFonts w:hint="eastAsia" w:ascii="宋体" w:hAnsi="宋体" w:eastAsia="宋体" w:cs="宋体"/>
          <w:kern w:val="2"/>
          <w:sz w:val="24"/>
          <w:szCs w:val="24"/>
        </w:rPr>
        <w:t xml:space="preserve"> </w:t>
      </w:r>
    </w:p>
    <w:p w14:paraId="19BDFAAF">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 xml:space="preserve">提交《数字沭阳“十五五”规划纲要》纸质规划文字版和PPT版各6套，电子成果各1套。  </w:t>
      </w:r>
    </w:p>
    <w:p w14:paraId="5F14EC82">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2.报告应符合国家、地方政府相关标准规范，成果需通过采购人验收。</w:t>
      </w:r>
    </w:p>
    <w:p w14:paraId="0E1E24FB">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3.编制单位项目组应与</w:t>
      </w:r>
      <w:r>
        <w:rPr>
          <w:rFonts w:hint="eastAsia" w:ascii="宋体" w:hAnsi="宋体" w:eastAsia="宋体" w:cs="宋体"/>
          <w:kern w:val="2"/>
          <w:sz w:val="24"/>
          <w:szCs w:val="24"/>
          <w:lang w:val="en-US" w:eastAsia="zh-CN"/>
        </w:rPr>
        <w:t>沭阳县</w:t>
      </w:r>
      <w:r>
        <w:rPr>
          <w:rFonts w:hint="eastAsia" w:ascii="宋体" w:hAnsi="宋体" w:eastAsia="宋体" w:cs="宋体"/>
          <w:kern w:val="2"/>
          <w:sz w:val="24"/>
          <w:szCs w:val="24"/>
        </w:rPr>
        <w:t>相关部门建立良好的沟通协调机制，保证工作时间。</w:t>
      </w:r>
    </w:p>
    <w:p w14:paraId="2AEBF156">
      <w:pPr>
        <w:numPr>
          <w:ilvl w:val="0"/>
          <w:numId w:val="0"/>
        </w:numPr>
        <w:wordWrap w:val="0"/>
        <w:spacing w:line="360" w:lineRule="auto"/>
        <w:ind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成果应包括文本、表格、图片及附件；提交的成果资料需符合相关规范、符合有关要求。</w:t>
      </w:r>
    </w:p>
    <w:p w14:paraId="5E597B2B">
      <w:pPr>
        <w:snapToGrid w:val="0"/>
        <w:spacing w:before="120" w:after="120" w:line="400" w:lineRule="exact"/>
        <w:ind w:firstLine="482" w:firstLineChars="200"/>
        <w:rPr>
          <w:rFonts w:hint="default" w:ascii="Times New Roman" w:hAnsi="Times New Roman" w:eastAsia="宋体" w:cs="Courier New"/>
          <w:b/>
          <w:bCs/>
          <w:kern w:val="2"/>
          <w:sz w:val="24"/>
          <w:szCs w:val="24"/>
          <w:lang w:val="en-US" w:eastAsia="zh-CN"/>
        </w:rPr>
      </w:pPr>
      <w:r>
        <w:rPr>
          <w:rFonts w:hint="eastAsia" w:ascii="Times New Roman" w:hAnsi="Times New Roman" w:eastAsia="宋体" w:cs="Courier New"/>
          <w:b/>
          <w:bCs/>
          <w:kern w:val="2"/>
          <w:sz w:val="24"/>
          <w:szCs w:val="24"/>
          <w:lang w:val="en-US" w:eastAsia="zh-CN"/>
        </w:rPr>
        <w:t>六、检验和验收</w:t>
      </w:r>
    </w:p>
    <w:p w14:paraId="340143FA">
      <w:pPr>
        <w:numPr>
          <w:ilvl w:val="0"/>
          <w:numId w:val="0"/>
        </w:numPr>
        <w:wordWrap w:val="0"/>
        <w:spacing w:line="360" w:lineRule="auto"/>
        <w:ind w:leftChars="0"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1.成交单位按照合同约定，定期提交服务报告，采购人按照合同约定进行定期验收；</w:t>
      </w:r>
    </w:p>
    <w:p w14:paraId="571628A3">
      <w:pPr>
        <w:numPr>
          <w:ilvl w:val="0"/>
          <w:numId w:val="0"/>
        </w:numPr>
        <w:wordWrap w:val="0"/>
        <w:spacing w:line="360" w:lineRule="auto"/>
        <w:ind w:leftChars="0"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合同期满或者履行完毕后，采购人有权组织（包括依法邀请国家认可的第三方专业机构及专家参加，相关验收意见作为验收书的参考资料）对成交单位履约的验收，即：按照合同约定的标准，组织对成交单位履约情况的验收，并出具验收书；</w:t>
      </w:r>
    </w:p>
    <w:p w14:paraId="04FD85FB">
      <w:pPr>
        <w:numPr>
          <w:ilvl w:val="0"/>
          <w:numId w:val="0"/>
        </w:numPr>
        <w:wordWrap w:val="0"/>
        <w:spacing w:line="360" w:lineRule="auto"/>
        <w:ind w:leftChars="0"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严格按照采购合同开展履约验收。验收时，按照采购合同的约定对每一项技术、服务、安全标准的履约情况进行确认。验收结束后，应当出具验收书，列明各项标准的验收情况及项目总体评价，由验收双方共同签署。</w:t>
      </w:r>
    </w:p>
    <w:p w14:paraId="3A7E4B43">
      <w:pPr>
        <w:numPr>
          <w:ilvl w:val="0"/>
          <w:numId w:val="0"/>
        </w:numPr>
        <w:wordWrap w:val="0"/>
        <w:spacing w:line="360" w:lineRule="auto"/>
        <w:ind w:leftChars="0"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验收合格的项目，采购人将根据采购合同的约定及时向供应商支付采购资金。验收不合格的项目，供应商须承担由此发生的一切损失和费用，并接受相应的处理。采购合同的履行、违约责任和解决争议的方式等适用《中华人民共和国民法典》。供应商在履约过程中有政府采购法律法规规定的违法违规情形的，采购人应当及时报告同级财政部门。</w:t>
      </w:r>
    </w:p>
    <w:p w14:paraId="7C3E5738">
      <w:pPr>
        <w:snapToGrid w:val="0"/>
        <w:spacing w:before="120" w:after="120" w:line="400" w:lineRule="exact"/>
        <w:ind w:firstLine="482" w:firstLineChars="200"/>
        <w:rPr>
          <w:rFonts w:hint="default" w:ascii="Times New Roman" w:hAnsi="Times New Roman" w:eastAsia="宋体" w:cs="Courier New"/>
          <w:b/>
          <w:bCs/>
          <w:color w:val="auto"/>
          <w:kern w:val="2"/>
          <w:sz w:val="24"/>
          <w:szCs w:val="24"/>
          <w:highlight w:val="none"/>
          <w:lang w:val="en-US" w:eastAsia="zh-CN"/>
        </w:rPr>
      </w:pPr>
      <w:r>
        <w:rPr>
          <w:rFonts w:hint="eastAsia" w:ascii="Times New Roman" w:hAnsi="Times New Roman" w:eastAsia="宋体" w:cs="Courier New"/>
          <w:b/>
          <w:bCs/>
          <w:color w:val="auto"/>
          <w:kern w:val="2"/>
          <w:sz w:val="24"/>
          <w:szCs w:val="24"/>
          <w:highlight w:val="none"/>
          <w:lang w:val="en-US" w:eastAsia="zh-CN"/>
        </w:rPr>
        <w:t>七、项目组成员</w:t>
      </w:r>
    </w:p>
    <w:p w14:paraId="1E1356CE">
      <w:pPr>
        <w:snapToGrid w:val="0"/>
        <w:spacing w:before="120" w:after="120" w:line="400" w:lineRule="exact"/>
        <w:ind w:firstLine="480" w:firstLineChars="200"/>
        <w:rPr>
          <w:rFonts w:hint="eastAsia" w:ascii="Times New Roman" w:hAnsi="Times New Roman" w:eastAsia="宋体" w:cs="Courier New"/>
          <w:b w:val="0"/>
          <w:bCs w:val="0"/>
          <w:color w:val="auto"/>
          <w:kern w:val="2"/>
          <w:sz w:val="24"/>
          <w:szCs w:val="24"/>
          <w:highlight w:val="yellow"/>
          <w:lang w:val="en-US" w:eastAsia="zh-CN"/>
        </w:rPr>
      </w:pPr>
      <w:r>
        <w:rPr>
          <w:rFonts w:hint="eastAsia" w:ascii="Times New Roman" w:hAnsi="Times New Roman" w:eastAsia="宋体" w:cs="Courier New"/>
          <w:b w:val="0"/>
          <w:bCs w:val="0"/>
          <w:color w:val="auto"/>
          <w:kern w:val="2"/>
          <w:sz w:val="24"/>
          <w:szCs w:val="24"/>
          <w:highlight w:val="none"/>
          <w:lang w:val="en-US" w:eastAsia="zh-CN"/>
        </w:rPr>
        <w:t>供应商须组建专业的技术服务团队，人员配置满足本次采购需求，其中包含项目组负责人1名，项目组其他成员不少于3名。</w:t>
      </w:r>
    </w:p>
    <w:p w14:paraId="265073BC">
      <w:pPr>
        <w:snapToGrid w:val="0"/>
        <w:spacing w:before="120" w:after="120" w:line="400" w:lineRule="exact"/>
        <w:ind w:firstLine="482" w:firstLineChars="200"/>
        <w:rPr>
          <w:rFonts w:hint="eastAsia" w:ascii="Times New Roman" w:hAnsi="Times New Roman" w:eastAsia="宋体" w:cs="Courier New"/>
          <w:b/>
          <w:bCs/>
          <w:color w:val="auto"/>
          <w:kern w:val="2"/>
          <w:sz w:val="24"/>
          <w:szCs w:val="24"/>
          <w:highlight w:val="yellow"/>
          <w:lang w:val="en-US" w:eastAsia="zh-CN"/>
        </w:rPr>
      </w:pPr>
      <w:r>
        <w:rPr>
          <w:rFonts w:hint="eastAsia" w:ascii="Times New Roman" w:hAnsi="Times New Roman" w:eastAsia="宋体" w:cs="Courier New"/>
          <w:b/>
          <w:bCs/>
          <w:color w:val="auto"/>
          <w:kern w:val="2"/>
          <w:sz w:val="24"/>
          <w:szCs w:val="24"/>
          <w:highlight w:val="none"/>
          <w:lang w:val="en-US" w:eastAsia="zh-CN"/>
        </w:rPr>
        <w:t>八、安全保密措施</w:t>
      </w:r>
    </w:p>
    <w:p w14:paraId="4C615DB5">
      <w:pPr>
        <w:numPr>
          <w:ilvl w:val="0"/>
          <w:numId w:val="0"/>
        </w:numPr>
        <w:wordWrap w:val="0"/>
        <w:spacing w:line="360" w:lineRule="auto"/>
        <w:ind w:leftChars="0"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工作中涉及的敏感资料、电子数据等相关信息，成交供应商应严格执行保密的相关规定，不得以任何方式向任何第三方披露、泄露或许可第三方使用，并与采购单位签订保密协议，否则追究其相应法律责任。</w:t>
      </w:r>
    </w:p>
    <w:p w14:paraId="721309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61CBB"/>
    <w:rsid w:val="6F36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2025-07-09T02:53:00Z</dcterms:created>
  <dc:creator>zx</dc:creator>
  <cp:lastModifiedBy>zx</cp:lastModifiedBy>
  <dcterms:modified xsi:type="dcterms:W3CDTF">2025-07-09T02:53:52Z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03239BDB20724CB29C71905F49854E41_11</vt:lpwstr>
  </property>
  <property fmtid="{D5CDD505-2E9C-101B-9397-08002B2CF9AE}" pid="4" name="KSOTemplateDocerSaveRecord">
    <vt:lpwstr>eyJoZGlkIjoiNTg3NWVkZWQxMDQ3MmI4MTlkZjBkMjBiM2QyMTAxZmMiLCJ1c2VySWQiOiIxMTQwMDYxNjg1In0=</vt:lpwstr>
  </property>
</Properties>
</file>